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F43EE5">
        <w:rPr>
          <w:rFonts w:ascii="Arial" w:hAnsi="Arial" w:cs="Arial"/>
          <w:b/>
          <w:sz w:val="24"/>
          <w:szCs w:val="24"/>
        </w:rPr>
        <w:t>ноябре</w:t>
      </w:r>
      <w:r w:rsidR="00F00CB4">
        <w:rPr>
          <w:rFonts w:ascii="Arial" w:hAnsi="Arial" w:cs="Arial"/>
          <w:b/>
          <w:sz w:val="24"/>
          <w:szCs w:val="24"/>
        </w:rPr>
        <w:t xml:space="preserve"> </w:t>
      </w:r>
      <w:r w:rsidR="0099216E" w:rsidRPr="00495EA0">
        <w:rPr>
          <w:rFonts w:ascii="Arial" w:hAnsi="Arial" w:cs="Arial"/>
          <w:b/>
          <w:sz w:val="24"/>
          <w:szCs w:val="24"/>
        </w:rPr>
        <w:t>201</w:t>
      </w:r>
      <w:r w:rsidR="00B92B7B" w:rsidRPr="00495EA0">
        <w:rPr>
          <w:rFonts w:ascii="Arial" w:hAnsi="Arial" w:cs="Arial"/>
          <w:b/>
          <w:sz w:val="24"/>
          <w:szCs w:val="24"/>
        </w:rPr>
        <w:t>9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 года</w:t>
      </w:r>
    </w:p>
    <w:p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F43EE5">
        <w:rPr>
          <w:rFonts w:ascii="Arial" w:hAnsi="Arial" w:cs="Arial"/>
        </w:rPr>
        <w:t>ноябре</w:t>
      </w:r>
      <w:r w:rsidR="00F00CB4">
        <w:rPr>
          <w:rFonts w:ascii="Arial" w:hAnsi="Arial" w:cs="Arial"/>
        </w:rPr>
        <w:t xml:space="preserve"> </w:t>
      </w:r>
      <w:r w:rsidR="00500284" w:rsidRPr="00495EA0">
        <w:rPr>
          <w:rFonts w:ascii="Arial" w:hAnsi="Arial" w:cs="Arial"/>
        </w:rPr>
        <w:t>201</w:t>
      </w:r>
      <w:r w:rsidR="00B92B7B" w:rsidRPr="00495EA0">
        <w:rPr>
          <w:rFonts w:ascii="Arial" w:hAnsi="Arial" w:cs="Arial"/>
        </w:rPr>
        <w:t>9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F43EE5">
        <w:rPr>
          <w:rFonts w:ascii="Arial" w:hAnsi="Arial" w:cs="Arial"/>
          <w:b/>
        </w:rPr>
        <w:t>1008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:rsidR="00D03B42" w:rsidRPr="00C124E3" w:rsidRDefault="00D03B42" w:rsidP="005C49F8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>Вопросы благоустройства и содержание жилого фонда</w:t>
      </w:r>
      <w:r w:rsidR="00906FBF" w:rsidRPr="00C124E3">
        <w:rPr>
          <w:rFonts w:ascii="Arial" w:hAnsi="Arial" w:cs="Arial"/>
        </w:rPr>
        <w:t>.</w:t>
      </w:r>
    </w:p>
    <w:p w:rsidR="00FC7BF2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Земельные вопросы</w:t>
      </w:r>
      <w:r w:rsidR="00D2412D">
        <w:rPr>
          <w:rFonts w:ascii="Arial" w:hAnsi="Arial" w:cs="Arial"/>
        </w:rPr>
        <w:t>.</w:t>
      </w:r>
    </w:p>
    <w:p w:rsidR="00B200CD" w:rsidRPr="00495EA0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332A5C">
        <w:rPr>
          <w:rFonts w:ascii="Arial" w:hAnsi="Arial" w:cs="Arial"/>
        </w:rPr>
        <w:t>безопасности дорожного движения и транспортное обслуживание</w:t>
      </w:r>
      <w:r w:rsidR="00D2412D">
        <w:rPr>
          <w:rFonts w:ascii="Arial" w:hAnsi="Arial" w:cs="Arial"/>
        </w:rPr>
        <w:t>.</w:t>
      </w:r>
    </w:p>
    <w:p w:rsidR="00C124E3" w:rsidRDefault="00FB36CB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градостроительного развития</w:t>
      </w:r>
    </w:p>
    <w:p w:rsidR="00FB36CB" w:rsidRPr="00FC7BF2" w:rsidRDefault="00FB36CB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капитального строительства</w:t>
      </w:r>
    </w:p>
    <w:tbl>
      <w:tblPr>
        <w:tblW w:w="97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011"/>
        <w:gridCol w:w="1703"/>
        <w:gridCol w:w="51"/>
      </w:tblGrid>
      <w:tr w:rsidR="00E90471" w:rsidTr="00E90471">
        <w:trPr>
          <w:trHeight w:val="28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43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43EE5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5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B3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5E5FB8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5E5FB8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5E5FB8" w:rsidRDefault="00F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5E5FB8" w:rsidRDefault="005E5FB8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"Пироговский</w:t>
            </w:r>
            <w:r w:rsidR="00304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B36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="00557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</w:t>
            </w:r>
            <w:r w:rsidR="00557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B3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C0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</w:tbl>
    <w:p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27066E05" wp14:editId="3CB77894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037341">
        <w:rPr>
          <w:rFonts w:ascii="Arial" w:hAnsi="Arial" w:cs="Arial"/>
          <w:i/>
        </w:rPr>
        <w:t>ноябре</w:t>
      </w:r>
      <w:r w:rsidR="004A0C89"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2019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037341">
        <w:rPr>
          <w:rFonts w:ascii="Arial" w:hAnsi="Arial" w:cs="Arial"/>
          <w:i/>
        </w:rPr>
        <w:t>37</w:t>
      </w:r>
      <w:r w:rsidR="000251E8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635F"/>
    <w:rsid w:val="00037341"/>
    <w:rsid w:val="00052995"/>
    <w:rsid w:val="000616EF"/>
    <w:rsid w:val="00084465"/>
    <w:rsid w:val="000868E3"/>
    <w:rsid w:val="000919BC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EF"/>
    <w:rsid w:val="00125C04"/>
    <w:rsid w:val="0012620E"/>
    <w:rsid w:val="00137C1A"/>
    <w:rsid w:val="00144F25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21DD5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0DA"/>
    <w:rsid w:val="004071F2"/>
    <w:rsid w:val="004239AA"/>
    <w:rsid w:val="00442885"/>
    <w:rsid w:val="00452A21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27C9"/>
    <w:rsid w:val="007B65A2"/>
    <w:rsid w:val="007C1EF4"/>
    <w:rsid w:val="007D4796"/>
    <w:rsid w:val="007E437A"/>
    <w:rsid w:val="007E43A7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E5898"/>
    <w:rsid w:val="009F02C2"/>
    <w:rsid w:val="00A00044"/>
    <w:rsid w:val="00A064CD"/>
    <w:rsid w:val="00A11292"/>
    <w:rsid w:val="00A144D0"/>
    <w:rsid w:val="00A52F16"/>
    <w:rsid w:val="00A73F94"/>
    <w:rsid w:val="00A760E9"/>
    <w:rsid w:val="00A85DFA"/>
    <w:rsid w:val="00A92387"/>
    <w:rsid w:val="00A92B36"/>
    <w:rsid w:val="00A97CE5"/>
    <w:rsid w:val="00AA086E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97DB6"/>
    <w:rsid w:val="00DA0DA5"/>
    <w:rsid w:val="00DA211C"/>
    <w:rsid w:val="00DA6B3E"/>
    <w:rsid w:val="00DB756F"/>
    <w:rsid w:val="00DC14D8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5B9F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43EE5"/>
    <w:rsid w:val="00F510AC"/>
    <w:rsid w:val="00F6066E"/>
    <w:rsid w:val="00F61203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6C80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Лист1!$A$2:$A$10</c:f>
              <c:strCache>
                <c:ptCount val="9"/>
                <c:pt idx="0">
                  <c:v>Управление ЖКХ и благоустройства - 37,3 %</c:v>
                </c:pt>
                <c:pt idx="1">
                  <c:v>Управление земельно-имущественных отношений - 18%</c:v>
                </c:pt>
                <c:pt idx="2">
                  <c:v>Управление транспорта и организации дорожного движения -  6,9%</c:v>
                </c:pt>
                <c:pt idx="3">
                  <c:v>Управление капитального строительства - 4,6%</c:v>
                </c:pt>
                <c:pt idx="4">
                  <c:v>Контрольное управление - 1,9%</c:v>
                </c:pt>
                <c:pt idx="5">
                  <c:v>Управление градостроительного развития -4,6%</c:v>
                </c:pt>
                <c:pt idx="6">
                  <c:v>Управление по социальной политике -3,7%</c:v>
                </c:pt>
                <c:pt idx="7">
                  <c:v>Административная комиссия - 1,3%</c:v>
                </c:pt>
                <c:pt idx="8">
                  <c:v>Управление образования - 3,5%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37.301587301587304</c:v>
                </c:pt>
                <c:pt idx="1">
                  <c:v>17.956349206349206</c:v>
                </c:pt>
                <c:pt idx="2">
                  <c:v>6.9444444444444446</c:v>
                </c:pt>
                <c:pt idx="3">
                  <c:v>4.5634920634920633</c:v>
                </c:pt>
                <c:pt idx="4">
                  <c:v>1.8849206349206349</c:v>
                </c:pt>
                <c:pt idx="5">
                  <c:v>4.5634920634920633</c:v>
                </c:pt>
                <c:pt idx="6">
                  <c:v>3.6706349206349205</c:v>
                </c:pt>
                <c:pt idx="7">
                  <c:v>1.2896825396825398</c:v>
                </c:pt>
                <c:pt idx="8">
                  <c:v>3.4722222222222223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Управление ЖКХ и благоустройства - 37,3 %</c:v>
                </c:pt>
                <c:pt idx="1">
                  <c:v>Управление земельно-имущественных отношений - 18%</c:v>
                </c:pt>
                <c:pt idx="2">
                  <c:v>Управление транспорта и организации дорожного движения -  6,9%</c:v>
                </c:pt>
                <c:pt idx="3">
                  <c:v>Управление капитального строительства - 4,6%</c:v>
                </c:pt>
                <c:pt idx="4">
                  <c:v>Контрольное управление - 1,9%</c:v>
                </c:pt>
                <c:pt idx="5">
                  <c:v>Управление градостроительного развития -4,6%</c:v>
                </c:pt>
                <c:pt idx="6">
                  <c:v>Управление по социальной политике -3,7%</c:v>
                </c:pt>
                <c:pt idx="7">
                  <c:v>Административная комиссия - 1,3%</c:v>
                </c:pt>
                <c:pt idx="8">
                  <c:v>Управление образования - 3,5%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376</c:v>
                </c:pt>
                <c:pt idx="1">
                  <c:v>181</c:v>
                </c:pt>
                <c:pt idx="2">
                  <c:v>70</c:v>
                </c:pt>
                <c:pt idx="3">
                  <c:v>46</c:v>
                </c:pt>
                <c:pt idx="4">
                  <c:v>19</c:v>
                </c:pt>
                <c:pt idx="5">
                  <c:v>46</c:v>
                </c:pt>
                <c:pt idx="6">
                  <c:v>37</c:v>
                </c:pt>
                <c:pt idx="7">
                  <c:v>13</c:v>
                </c:pt>
                <c:pt idx="8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95A6-1F87-428B-915C-EDFA527C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5</cp:revision>
  <cp:lastPrinted>2019-08-16T13:34:00Z</cp:lastPrinted>
  <dcterms:created xsi:type="dcterms:W3CDTF">2019-12-03T08:31:00Z</dcterms:created>
  <dcterms:modified xsi:type="dcterms:W3CDTF">2019-12-03T09:08:00Z</dcterms:modified>
</cp:coreProperties>
</file>