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F00CB4">
        <w:rPr>
          <w:rFonts w:ascii="Arial" w:hAnsi="Arial" w:cs="Arial"/>
          <w:b/>
          <w:sz w:val="24"/>
          <w:szCs w:val="24"/>
        </w:rPr>
        <w:t xml:space="preserve">октябре </w:t>
      </w:r>
      <w:r w:rsidR="0099216E" w:rsidRPr="00495EA0">
        <w:rPr>
          <w:rFonts w:ascii="Arial" w:hAnsi="Arial" w:cs="Arial"/>
          <w:b/>
          <w:sz w:val="24"/>
          <w:szCs w:val="24"/>
        </w:rPr>
        <w:t>201</w:t>
      </w:r>
      <w:r w:rsidR="00B92B7B" w:rsidRPr="00495EA0">
        <w:rPr>
          <w:rFonts w:ascii="Arial" w:hAnsi="Arial" w:cs="Arial"/>
          <w:b/>
          <w:sz w:val="24"/>
          <w:szCs w:val="24"/>
        </w:rPr>
        <w:t>9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 года</w:t>
      </w:r>
    </w:p>
    <w:p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F00CB4">
        <w:rPr>
          <w:rFonts w:ascii="Arial" w:hAnsi="Arial" w:cs="Arial"/>
        </w:rPr>
        <w:t xml:space="preserve">октябре </w:t>
      </w:r>
      <w:r w:rsidR="00500284" w:rsidRPr="00495EA0">
        <w:rPr>
          <w:rFonts w:ascii="Arial" w:hAnsi="Arial" w:cs="Arial"/>
        </w:rPr>
        <w:t>201</w:t>
      </w:r>
      <w:r w:rsidR="00B92B7B" w:rsidRPr="00495EA0">
        <w:rPr>
          <w:rFonts w:ascii="Arial" w:hAnsi="Arial" w:cs="Arial"/>
        </w:rPr>
        <w:t>9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00CB4">
        <w:rPr>
          <w:rFonts w:ascii="Arial" w:hAnsi="Arial" w:cs="Arial"/>
          <w:b/>
        </w:rPr>
        <w:t>1046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  <w:r w:rsidR="00906FBF" w:rsidRPr="00C124E3">
        <w:rPr>
          <w:rFonts w:ascii="Arial" w:hAnsi="Arial" w:cs="Arial"/>
        </w:rPr>
        <w:t>.</w:t>
      </w:r>
    </w:p>
    <w:p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вопросы</w:t>
      </w:r>
      <w:r w:rsidR="00D2412D">
        <w:rPr>
          <w:rFonts w:ascii="Arial" w:hAnsi="Arial" w:cs="Arial"/>
        </w:rPr>
        <w:t>.</w:t>
      </w:r>
    </w:p>
    <w:p w:rsidR="00B200CD" w:rsidRPr="00495EA0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332A5C">
        <w:rPr>
          <w:rFonts w:ascii="Arial" w:hAnsi="Arial" w:cs="Arial"/>
        </w:rPr>
        <w:t>безопасности дорожного движения и транспортное обслуживание</w:t>
      </w:r>
      <w:r w:rsidR="00D2412D">
        <w:rPr>
          <w:rFonts w:ascii="Arial" w:hAnsi="Arial" w:cs="Arial"/>
        </w:rPr>
        <w:t>.</w:t>
      </w:r>
    </w:p>
    <w:p w:rsidR="00B200CD" w:rsidRDefault="00D2412D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332A5C">
        <w:rPr>
          <w:rFonts w:ascii="Arial" w:hAnsi="Arial" w:cs="Arial"/>
        </w:rPr>
        <w:t>выделения путевки в ДОУ</w:t>
      </w:r>
      <w:r>
        <w:rPr>
          <w:rFonts w:ascii="Arial" w:hAnsi="Arial" w:cs="Arial"/>
        </w:rPr>
        <w:t>.</w:t>
      </w:r>
    </w:p>
    <w:p w:rsidR="00C124E3" w:rsidRPr="00FC7BF2" w:rsidRDefault="00C124E3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  <w:r w:rsidR="00094E47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  <w:gridCol w:w="1703"/>
        <w:gridCol w:w="51"/>
      </w:tblGrid>
      <w:tr w:rsidR="00E90471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5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5E5FB8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5E5FB8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5E5FB8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5E5FB8" w:rsidRDefault="005E5FB8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"Пироговский</w:t>
            </w:r>
            <w:r w:rsidR="00304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E90471" w:rsidRDefault="00F00CB4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</w:tbl>
    <w:p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27066E05" wp14:editId="3CB77894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1705DE">
        <w:rPr>
          <w:rFonts w:ascii="Arial" w:hAnsi="Arial" w:cs="Arial"/>
          <w:i/>
        </w:rPr>
        <w:t>октябре</w:t>
      </w:r>
      <w:r w:rsidR="004A0C89"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2019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311E67">
        <w:rPr>
          <w:rFonts w:ascii="Arial" w:hAnsi="Arial" w:cs="Arial"/>
          <w:i/>
        </w:rPr>
        <w:t>45</w:t>
      </w:r>
      <w:r w:rsidR="000251E8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52995"/>
    <w:rsid w:val="000616EF"/>
    <w:rsid w:val="00084465"/>
    <w:rsid w:val="000868E3"/>
    <w:rsid w:val="000919BC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E1208"/>
    <w:rsid w:val="001E2ACB"/>
    <w:rsid w:val="001E749E"/>
    <w:rsid w:val="001E7907"/>
    <w:rsid w:val="001F072A"/>
    <w:rsid w:val="0021478F"/>
    <w:rsid w:val="0021575E"/>
    <w:rsid w:val="00221DD5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B65A2"/>
    <w:rsid w:val="007C1EF4"/>
    <w:rsid w:val="007D4796"/>
    <w:rsid w:val="007E437A"/>
    <w:rsid w:val="007E43A7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E5898"/>
    <w:rsid w:val="009F02C2"/>
    <w:rsid w:val="00A00044"/>
    <w:rsid w:val="00A064CD"/>
    <w:rsid w:val="00A11292"/>
    <w:rsid w:val="00A144D0"/>
    <w:rsid w:val="00A52F16"/>
    <w:rsid w:val="00A73F94"/>
    <w:rsid w:val="00A760E9"/>
    <w:rsid w:val="00A85DFA"/>
    <w:rsid w:val="00A92387"/>
    <w:rsid w:val="00A92B36"/>
    <w:rsid w:val="00A97CE5"/>
    <w:rsid w:val="00AA086E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B022B"/>
    <w:rsid w:val="00EB08FB"/>
    <w:rsid w:val="00EC02DE"/>
    <w:rsid w:val="00EC5B9F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510AC"/>
    <w:rsid w:val="00F6066E"/>
    <w:rsid w:val="00F61203"/>
    <w:rsid w:val="00F91811"/>
    <w:rsid w:val="00F9354C"/>
    <w:rsid w:val="00FA2D70"/>
    <w:rsid w:val="00FA2EF6"/>
    <w:rsid w:val="00FA4C01"/>
    <w:rsid w:val="00FA71B3"/>
    <w:rsid w:val="00FA7B0A"/>
    <w:rsid w:val="00FB2A47"/>
    <w:rsid w:val="00FB43F7"/>
    <w:rsid w:val="00FC0368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433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- 39,5 %</c:v>
                </c:pt>
                <c:pt idx="1">
                  <c:v>Управление земельно-имущественных отношений - 14,8%</c:v>
                </c:pt>
                <c:pt idx="2">
                  <c:v>Управление транспорта и организации дорожного движения -  6,7%</c:v>
                </c:pt>
                <c:pt idx="3">
                  <c:v>Управление капитального строительства - 4,4%</c:v>
                </c:pt>
                <c:pt idx="4">
                  <c:v>Контрольное управление - 2,1%</c:v>
                </c:pt>
                <c:pt idx="5">
                  <c:v>Управление градостроительного развития -3,8%</c:v>
                </c:pt>
                <c:pt idx="6">
                  <c:v>Управление по социальной политике -3,8%</c:v>
                </c:pt>
                <c:pt idx="7">
                  <c:v>Административная комиссия - 2,3%</c:v>
                </c:pt>
                <c:pt idx="8">
                  <c:v>Управление образования - 3,9%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39.48374760994264</c:v>
                </c:pt>
                <c:pt idx="1">
                  <c:v>14.818355640535373</c:v>
                </c:pt>
                <c:pt idx="2">
                  <c:v>6.6921606118546846</c:v>
                </c:pt>
                <c:pt idx="3">
                  <c:v>4.3977055449330784</c:v>
                </c:pt>
                <c:pt idx="4">
                  <c:v>2.1032504780114722</c:v>
                </c:pt>
                <c:pt idx="5">
                  <c:v>3.8240917782026767</c:v>
                </c:pt>
                <c:pt idx="6">
                  <c:v>3.8240917782026767</c:v>
                </c:pt>
                <c:pt idx="7">
                  <c:v>2.2944550669216062</c:v>
                </c:pt>
                <c:pt idx="8">
                  <c:v>3.9196940726577436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- 39,5 %</c:v>
                </c:pt>
                <c:pt idx="1">
                  <c:v>Управление земельно-имущественных отношений - 14,8%</c:v>
                </c:pt>
                <c:pt idx="2">
                  <c:v>Управление транспорта и организации дорожного движения -  6,7%</c:v>
                </c:pt>
                <c:pt idx="3">
                  <c:v>Управление капитального строительства - 4,4%</c:v>
                </c:pt>
                <c:pt idx="4">
                  <c:v>Контрольное управление - 2,1%</c:v>
                </c:pt>
                <c:pt idx="5">
                  <c:v>Управление градостроительного развития -3,8%</c:v>
                </c:pt>
                <c:pt idx="6">
                  <c:v>Управление по социальной политике -3,8%</c:v>
                </c:pt>
                <c:pt idx="7">
                  <c:v>Административная комиссия - 2,3%</c:v>
                </c:pt>
                <c:pt idx="8">
                  <c:v>Управление образования - 3,9%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413</c:v>
                </c:pt>
                <c:pt idx="1">
                  <c:v>155</c:v>
                </c:pt>
                <c:pt idx="2">
                  <c:v>70</c:v>
                </c:pt>
                <c:pt idx="3">
                  <c:v>46</c:v>
                </c:pt>
                <c:pt idx="4">
                  <c:v>22</c:v>
                </c:pt>
                <c:pt idx="5">
                  <c:v>40</c:v>
                </c:pt>
                <c:pt idx="6">
                  <c:v>40</c:v>
                </c:pt>
                <c:pt idx="7">
                  <c:v>24</c:v>
                </c:pt>
                <c:pt idx="8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10D7-B98E-4FEA-B9A0-F6042231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9</cp:revision>
  <cp:lastPrinted>2019-08-16T13:34:00Z</cp:lastPrinted>
  <dcterms:created xsi:type="dcterms:W3CDTF">2019-10-14T13:58:00Z</dcterms:created>
  <dcterms:modified xsi:type="dcterms:W3CDTF">2019-11-13T11:33:00Z</dcterms:modified>
</cp:coreProperties>
</file>